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0611" w14:textId="77777777" w:rsidR="00FE067E" w:rsidRPr="005F307E" w:rsidRDefault="00CD36CF" w:rsidP="00CC1F3B">
      <w:pPr>
        <w:pStyle w:val="TitlePageOrigin"/>
        <w:rPr>
          <w:color w:val="auto"/>
        </w:rPr>
      </w:pPr>
      <w:r w:rsidRPr="005F307E">
        <w:rPr>
          <w:color w:val="auto"/>
        </w:rPr>
        <w:t>WEST virginia legislature</w:t>
      </w:r>
    </w:p>
    <w:p w14:paraId="02BD7719" w14:textId="12E9E8F9" w:rsidR="00CD36CF" w:rsidRPr="005F307E" w:rsidRDefault="00CD36CF" w:rsidP="00CC1F3B">
      <w:pPr>
        <w:pStyle w:val="TitlePageSession"/>
        <w:rPr>
          <w:color w:val="auto"/>
        </w:rPr>
      </w:pPr>
      <w:r w:rsidRPr="005F307E">
        <w:rPr>
          <w:color w:val="auto"/>
        </w:rPr>
        <w:t>20</w:t>
      </w:r>
      <w:r w:rsidR="007F29DD" w:rsidRPr="005F307E">
        <w:rPr>
          <w:color w:val="auto"/>
        </w:rPr>
        <w:t>2</w:t>
      </w:r>
      <w:r w:rsidR="00971C0C" w:rsidRPr="005F307E">
        <w:rPr>
          <w:color w:val="auto"/>
        </w:rPr>
        <w:t>3</w:t>
      </w:r>
      <w:r w:rsidRPr="005F307E">
        <w:rPr>
          <w:color w:val="auto"/>
        </w:rPr>
        <w:t xml:space="preserve"> regular session</w:t>
      </w:r>
    </w:p>
    <w:p w14:paraId="398EA10C" w14:textId="77777777" w:rsidR="00CD36CF" w:rsidRPr="005F307E" w:rsidRDefault="00E470E2" w:rsidP="00CC1F3B">
      <w:pPr>
        <w:pStyle w:val="TitlePageBillPrefix"/>
        <w:rPr>
          <w:color w:val="auto"/>
        </w:rPr>
      </w:pPr>
      <w:sdt>
        <w:sdtPr>
          <w:rPr>
            <w:color w:val="auto"/>
          </w:rPr>
          <w:tag w:val="IntroDate"/>
          <w:id w:val="-1236936958"/>
          <w:placeholder>
            <w:docPart w:val="219A9C2DF25445988E8515692D5A0E10"/>
          </w:placeholder>
          <w:text/>
        </w:sdtPr>
        <w:sdtEndPr/>
        <w:sdtContent>
          <w:r w:rsidR="00AE48A0" w:rsidRPr="005F307E">
            <w:rPr>
              <w:color w:val="auto"/>
            </w:rPr>
            <w:t>Introduced</w:t>
          </w:r>
        </w:sdtContent>
      </w:sdt>
    </w:p>
    <w:p w14:paraId="2FC50E39" w14:textId="4FEB27B9" w:rsidR="00CD36CF" w:rsidRPr="005F307E" w:rsidRDefault="00E470E2" w:rsidP="00CC1F3B">
      <w:pPr>
        <w:pStyle w:val="BillNumber"/>
        <w:rPr>
          <w:color w:val="auto"/>
        </w:rPr>
      </w:pPr>
      <w:sdt>
        <w:sdtPr>
          <w:rPr>
            <w:color w:val="auto"/>
          </w:rPr>
          <w:tag w:val="Chamber"/>
          <w:id w:val="893011969"/>
          <w:lock w:val="sdtLocked"/>
          <w:placeholder>
            <w:docPart w:val="EE374B8DADA1439CB9123DDB4409FF6F"/>
          </w:placeholder>
          <w:dropDownList>
            <w:listItem w:displayText="House" w:value="House"/>
            <w:listItem w:displayText="Senate" w:value="Senate"/>
          </w:dropDownList>
        </w:sdtPr>
        <w:sdtEndPr/>
        <w:sdtContent>
          <w:r w:rsidR="00AF56C3" w:rsidRPr="005F307E">
            <w:rPr>
              <w:color w:val="auto"/>
            </w:rPr>
            <w:t>House</w:t>
          </w:r>
        </w:sdtContent>
      </w:sdt>
      <w:r w:rsidR="00303684" w:rsidRPr="005F307E">
        <w:rPr>
          <w:color w:val="auto"/>
        </w:rPr>
        <w:t xml:space="preserve"> </w:t>
      </w:r>
      <w:r w:rsidR="00CD36CF" w:rsidRPr="005F307E">
        <w:rPr>
          <w:color w:val="auto"/>
        </w:rPr>
        <w:t xml:space="preserve">Bill </w:t>
      </w:r>
      <w:sdt>
        <w:sdtPr>
          <w:rPr>
            <w:color w:val="auto"/>
          </w:rPr>
          <w:tag w:val="BNum"/>
          <w:id w:val="1645317809"/>
          <w:lock w:val="sdtLocked"/>
          <w:placeholder>
            <w:docPart w:val="D7A4E4637DC4429F9BF83808D8618699"/>
          </w:placeholder>
          <w:text/>
        </w:sdtPr>
        <w:sdtEndPr/>
        <w:sdtContent>
          <w:r w:rsidR="00F4581E">
            <w:rPr>
              <w:color w:val="auto"/>
            </w:rPr>
            <w:t>2600</w:t>
          </w:r>
        </w:sdtContent>
      </w:sdt>
    </w:p>
    <w:p w14:paraId="35BF686A" w14:textId="262E3FEE" w:rsidR="00CD36CF" w:rsidRPr="005F307E" w:rsidRDefault="00CD36CF" w:rsidP="00CC1F3B">
      <w:pPr>
        <w:pStyle w:val="Sponsors"/>
        <w:rPr>
          <w:color w:val="auto"/>
        </w:rPr>
      </w:pPr>
      <w:r w:rsidRPr="005F307E">
        <w:rPr>
          <w:color w:val="auto"/>
        </w:rPr>
        <w:t xml:space="preserve">By </w:t>
      </w:r>
      <w:sdt>
        <w:sdtPr>
          <w:rPr>
            <w:color w:val="auto"/>
          </w:rPr>
          <w:tag w:val="Sponsors"/>
          <w:id w:val="1589585889"/>
          <w:placeholder>
            <w:docPart w:val="93BA252143554D19ADE23667D232BEAE"/>
          </w:placeholder>
          <w:text w:multiLine="1"/>
        </w:sdtPr>
        <w:sdtEndPr/>
        <w:sdtContent>
          <w:r w:rsidR="00AF56C3" w:rsidRPr="005F307E">
            <w:rPr>
              <w:color w:val="auto"/>
            </w:rPr>
            <w:t>Delegate</w:t>
          </w:r>
          <w:r w:rsidR="00173E29">
            <w:rPr>
              <w:color w:val="auto"/>
            </w:rPr>
            <w:t>s</w:t>
          </w:r>
          <w:r w:rsidR="00AF56C3" w:rsidRPr="005F307E">
            <w:rPr>
              <w:color w:val="auto"/>
            </w:rPr>
            <w:t xml:space="preserve"> Hott</w:t>
          </w:r>
          <w:r w:rsidR="00173E29">
            <w:rPr>
              <w:color w:val="auto"/>
            </w:rPr>
            <w:t>, Phillips, Jennings, Linville,</w:t>
          </w:r>
          <w:r w:rsidR="00E470E2">
            <w:rPr>
              <w:color w:val="auto"/>
            </w:rPr>
            <w:t xml:space="preserve"> </w:t>
          </w:r>
          <w:r w:rsidR="00173E29">
            <w:rPr>
              <w:color w:val="auto"/>
            </w:rPr>
            <w:t>Horst and Honaker</w:t>
          </w:r>
        </w:sdtContent>
      </w:sdt>
    </w:p>
    <w:p w14:paraId="0B157DD5" w14:textId="72838A1B" w:rsidR="00E831B3" w:rsidRPr="005F307E" w:rsidRDefault="00CD36CF" w:rsidP="00CC1F3B">
      <w:pPr>
        <w:pStyle w:val="References"/>
        <w:rPr>
          <w:color w:val="auto"/>
        </w:rPr>
      </w:pPr>
      <w:r w:rsidRPr="005F307E">
        <w:rPr>
          <w:color w:val="auto"/>
        </w:rPr>
        <w:t>[</w:t>
      </w:r>
      <w:sdt>
        <w:sdtPr>
          <w:rPr>
            <w:color w:val="auto"/>
          </w:rPr>
          <w:tag w:val="References"/>
          <w:id w:val="-1043047873"/>
          <w:placeholder>
            <w:docPart w:val="AC4F50163B134C86BC75852066546FD8"/>
          </w:placeholder>
          <w:text w:multiLine="1"/>
        </w:sdtPr>
        <w:sdtEndPr/>
        <w:sdtContent>
          <w:r w:rsidR="00F4581E">
            <w:rPr>
              <w:color w:val="auto"/>
            </w:rPr>
            <w:t>Introduced January 17, 2023; Referred to the Committee on Political Subdivisions then Finance</w:t>
          </w:r>
        </w:sdtContent>
      </w:sdt>
      <w:r w:rsidRPr="005F307E">
        <w:rPr>
          <w:color w:val="auto"/>
        </w:rPr>
        <w:t>]</w:t>
      </w:r>
    </w:p>
    <w:p w14:paraId="52890741" w14:textId="0A9622DF" w:rsidR="00303684" w:rsidRPr="005F307E" w:rsidRDefault="0000526A" w:rsidP="00CC1F3B">
      <w:pPr>
        <w:pStyle w:val="TitleSection"/>
        <w:rPr>
          <w:color w:val="auto"/>
        </w:rPr>
      </w:pPr>
      <w:r w:rsidRPr="005F307E">
        <w:rPr>
          <w:color w:val="auto"/>
        </w:rPr>
        <w:lastRenderedPageBreak/>
        <w:t>A BILL</w:t>
      </w:r>
      <w:r w:rsidR="00492D33" w:rsidRPr="005F307E">
        <w:rPr>
          <w:color w:val="auto"/>
        </w:rPr>
        <w:t xml:space="preserve"> to amend and reenact §7-18-14 of the Code of West Virginia, 1931, as amended, relating to </w:t>
      </w:r>
      <w:r w:rsidR="00CE687F" w:rsidRPr="005F307E">
        <w:rPr>
          <w:color w:val="auto"/>
        </w:rPr>
        <w:t xml:space="preserve">the proceeds and application of the hotel occupancy tax; providing a legislative finding; and providing that the allocation of the hotel occupancy tax is subject to the sole discretion of the municipality or county commission. </w:t>
      </w:r>
    </w:p>
    <w:p w14:paraId="6DE82F43" w14:textId="77777777" w:rsidR="00303684" w:rsidRPr="005F307E" w:rsidRDefault="00303684" w:rsidP="00CC1F3B">
      <w:pPr>
        <w:pStyle w:val="EnactingClause"/>
        <w:rPr>
          <w:color w:val="auto"/>
        </w:rPr>
        <w:sectPr w:rsidR="00303684" w:rsidRPr="005F307E" w:rsidSect="00E71B3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F307E">
        <w:rPr>
          <w:color w:val="auto"/>
        </w:rPr>
        <w:t>Be it enacted by the Legislature of West Virginia:</w:t>
      </w:r>
    </w:p>
    <w:p w14:paraId="0DDDF30D" w14:textId="77777777" w:rsidR="00CE687F" w:rsidRPr="005F307E" w:rsidRDefault="00CE687F" w:rsidP="00A539BE">
      <w:pPr>
        <w:pStyle w:val="ArticleHeading"/>
        <w:rPr>
          <w:color w:val="auto"/>
        </w:rPr>
        <w:sectPr w:rsidR="00CE687F" w:rsidRPr="005F307E" w:rsidSect="00E71B3A">
          <w:type w:val="continuous"/>
          <w:pgSz w:w="12240" w:h="15840" w:code="1"/>
          <w:pgMar w:top="1440" w:right="1440" w:bottom="1440" w:left="1440" w:header="720" w:footer="720" w:gutter="0"/>
          <w:lnNumType w:countBy="1" w:restart="newSection"/>
          <w:cols w:space="720"/>
          <w:titlePg/>
          <w:docGrid w:linePitch="360"/>
        </w:sectPr>
      </w:pPr>
      <w:r w:rsidRPr="005F307E">
        <w:rPr>
          <w:color w:val="auto"/>
        </w:rPr>
        <w:t>ARTICLE 18. HOTEL OCCUPANCY TAX.</w:t>
      </w:r>
    </w:p>
    <w:p w14:paraId="06F1BB39" w14:textId="6033C3C1" w:rsidR="0081643C" w:rsidRPr="005F307E" w:rsidRDefault="0081643C" w:rsidP="002F5E2D">
      <w:pPr>
        <w:pStyle w:val="SectionHeading"/>
        <w:rPr>
          <w:color w:val="auto"/>
        </w:rPr>
      </w:pPr>
      <w:r w:rsidRPr="005F307E">
        <w:rPr>
          <w:color w:val="auto"/>
        </w:rPr>
        <w:t>§7-18-14. Proceeds of tax; application of proceeds.</w:t>
      </w:r>
    </w:p>
    <w:p w14:paraId="02A8264B" w14:textId="77777777" w:rsidR="0081643C" w:rsidRPr="005F307E" w:rsidRDefault="0081643C" w:rsidP="002F5E2D">
      <w:pPr>
        <w:pStyle w:val="SectionBody"/>
        <w:rPr>
          <w:color w:val="auto"/>
        </w:rPr>
        <w:sectPr w:rsidR="0081643C" w:rsidRPr="005F307E" w:rsidSect="00E71B3A">
          <w:type w:val="continuous"/>
          <w:pgSz w:w="12240" w:h="15840" w:code="1"/>
          <w:pgMar w:top="1440" w:right="1440" w:bottom="1440" w:left="1440" w:header="720" w:footer="720" w:gutter="0"/>
          <w:lnNumType w:countBy="1" w:restart="newSection"/>
          <w:cols w:space="720"/>
          <w:titlePg/>
          <w:docGrid w:linePitch="360"/>
        </w:sectPr>
      </w:pPr>
    </w:p>
    <w:p w14:paraId="73CEEA14" w14:textId="13B2AD07" w:rsidR="0081643C" w:rsidRPr="005F307E" w:rsidRDefault="0081643C" w:rsidP="0081643C">
      <w:pPr>
        <w:pStyle w:val="SectionBody"/>
        <w:rPr>
          <w:color w:val="auto"/>
          <w:u w:val="single"/>
        </w:rPr>
      </w:pPr>
      <w:r w:rsidRPr="005F307E">
        <w:rPr>
          <w:color w:val="auto"/>
          <w:u w:val="single"/>
        </w:rPr>
        <w:t>(a) Legislative finding.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visitor’s bureaus and hotels is a public purpose for which funds may be expended. Local convention and visitor’s bureaus and hotels receiving funds under this subsection may expend the funds for the payment of administrative expenses, and for the direct or indirect promotion of conventions and tourism, and for any other uses and purposes authorized by this subsection.</w:t>
      </w:r>
    </w:p>
    <w:p w14:paraId="07D1C1A6" w14:textId="0A9363D4" w:rsidR="0081643C" w:rsidRPr="005F307E" w:rsidRDefault="0081643C" w:rsidP="002F5E2D">
      <w:pPr>
        <w:pStyle w:val="SectionBody"/>
        <w:rPr>
          <w:color w:val="auto"/>
        </w:rPr>
      </w:pPr>
      <w:r w:rsidRPr="005F307E">
        <w:rPr>
          <w:strike/>
          <w:color w:val="auto"/>
        </w:rPr>
        <w:t>(a)</w:t>
      </w:r>
      <w:r w:rsidRPr="005F307E">
        <w:rPr>
          <w:color w:val="auto"/>
        </w:rPr>
        <w:t xml:space="preserve"> </w:t>
      </w:r>
      <w:r w:rsidRPr="005F307E">
        <w:rPr>
          <w:color w:val="auto"/>
          <w:u w:val="single"/>
        </w:rPr>
        <w:t>(b)</w:t>
      </w:r>
      <w:r w:rsidRPr="005F307E">
        <w:rPr>
          <w:color w:val="auto"/>
        </w:rPr>
        <w:t xml:space="preserve"> Application of proceeds. — The net proceeds of the tax collected and remitted to the taxing authority pursuant to this article shall be deposited into the general revenue fund of such municipality or county commission and, after appropriation thereof, shall be expended only as provided in this section.</w:t>
      </w:r>
    </w:p>
    <w:p w14:paraId="14FEABD7" w14:textId="77777777" w:rsidR="0081643C" w:rsidRPr="005F307E" w:rsidRDefault="0081643C" w:rsidP="002F5E2D">
      <w:pPr>
        <w:pStyle w:val="SectionBody"/>
        <w:rPr>
          <w:strike/>
          <w:color w:val="auto"/>
        </w:rPr>
      </w:pPr>
      <w:r w:rsidRPr="005F307E">
        <w:rPr>
          <w:strike/>
          <w:color w:val="auto"/>
        </w:rPr>
        <w:t>(b) Required expenditures. — At least 50 percent of the net revenue receivable during the fiscal year by a county or a municipality pursuant to this article shall be expended in the following manner for the promotion of conventions and tourism:</w:t>
      </w:r>
    </w:p>
    <w:p w14:paraId="091319DC" w14:textId="77777777" w:rsidR="0081643C" w:rsidRPr="005F307E" w:rsidRDefault="0081643C" w:rsidP="002F5E2D">
      <w:pPr>
        <w:pStyle w:val="SectionBody"/>
        <w:rPr>
          <w:strike/>
          <w:color w:val="auto"/>
        </w:rPr>
      </w:pPr>
      <w:r w:rsidRPr="005F307E">
        <w:rPr>
          <w:strike/>
          <w:color w:val="auto"/>
        </w:rPr>
        <w:lastRenderedPageBreak/>
        <w:t>(1) Municipalities. — If a convention and visitor’s bureau is located within the municipality, county, or region, and has complied with the requirements of §7-18-13a of this code, the governing body of such municipality shall appropriate the percentage required by this subsection to that bureau. If a convention and visitor’s bureau is not located within such municipality, county or region, or a bureau located within such municipality has not complied with the requirements of §7-18-13a of this code, then the percentage appropriation required by this subsection shall be appropriated as follows:</w:t>
      </w:r>
    </w:p>
    <w:p w14:paraId="3CD3D172" w14:textId="77777777" w:rsidR="0081643C" w:rsidRPr="005F307E" w:rsidRDefault="0081643C" w:rsidP="002F5E2D">
      <w:pPr>
        <w:pStyle w:val="SectionBody"/>
        <w:rPr>
          <w:strike/>
          <w:color w:val="auto"/>
        </w:rPr>
      </w:pPr>
      <w:r w:rsidRPr="005F307E">
        <w:rPr>
          <w:strike/>
          <w:color w:val="auto"/>
        </w:rPr>
        <w:t xml:space="preserve">(A) Any hotel located within such municipality may apply to such municipality for an appropriation to such hotel of a portion of the tax authorized by this article and collected by such hotel and remitted to such municipality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5F307E">
        <w:rPr>
          <w:i/>
          <w:iCs/>
          <w:strike/>
          <w:color w:val="auto"/>
        </w:rPr>
        <w:t>Provided</w:t>
      </w:r>
      <w:r w:rsidRPr="005F307E">
        <w:rPr>
          <w:strike/>
          <w:color w:val="auto"/>
        </w:rPr>
        <w:t>, That prior to appropriating any moneys to such hotel, such municipality shall require the submission of, and give approval to, a budget setting forth the proposed uses of such moneys.</w:t>
      </w:r>
    </w:p>
    <w:p w14:paraId="2516CD4F" w14:textId="77777777" w:rsidR="0081643C" w:rsidRPr="005F307E" w:rsidRDefault="0081643C" w:rsidP="002F5E2D">
      <w:pPr>
        <w:pStyle w:val="SectionBody"/>
        <w:rPr>
          <w:strike/>
          <w:color w:val="auto"/>
        </w:rPr>
      </w:pPr>
      <w:r w:rsidRPr="005F307E">
        <w:rPr>
          <w:strike/>
          <w:color w:val="auto"/>
        </w:rPr>
        <w:t>(B) If there is more than one convention and visitor’s bureau that is in compliance with the requirements of §7-18-13a of this code located within a municipality, the city council may allocate the tax authorized by this article to one or more of such bureaus in such portion as the city council in its sole discretion determines.</w:t>
      </w:r>
    </w:p>
    <w:p w14:paraId="76CF050C" w14:textId="77777777" w:rsidR="0081643C" w:rsidRPr="005F307E" w:rsidRDefault="0081643C" w:rsidP="002F5E2D">
      <w:pPr>
        <w:pStyle w:val="SectionBody"/>
        <w:rPr>
          <w:strike/>
          <w:color w:val="auto"/>
        </w:rPr>
      </w:pPr>
      <w:r w:rsidRPr="005F307E">
        <w:rPr>
          <w:strike/>
          <w:color w:val="auto"/>
        </w:rPr>
        <w:t>(2) Counties. — If a convention and visitor’s bureau is located within a county or region and has complied with the requirements of §7-18-13a of this code, the county commission shall appropriate the percentage required by this subsection to that convention and visitor’s bureau. If a convention and visitor’s bureau is not located within such county or region, or a bureau located within the county or region has not complied with the requirements of §7-18-13a of this code, then the percentage appropriation required by this subsection shall be appropriated as follows:</w:t>
      </w:r>
    </w:p>
    <w:p w14:paraId="7F0183C8" w14:textId="77777777" w:rsidR="0081643C" w:rsidRPr="005F307E" w:rsidRDefault="0081643C" w:rsidP="002F5E2D">
      <w:pPr>
        <w:pStyle w:val="SectionBody"/>
        <w:rPr>
          <w:strike/>
          <w:color w:val="auto"/>
        </w:rPr>
      </w:pPr>
      <w:r w:rsidRPr="005F307E">
        <w:rPr>
          <w:strike/>
          <w:color w:val="auto"/>
        </w:rPr>
        <w:lastRenderedPageBreak/>
        <w:t xml:space="preserve">(A) Any hotel located within the county or region may apply to the county for an appropriation to the hotel of a portion of the tax authorized by this article and collected by the hotel and remitted to the county for uses directly related to the promotion of tourism and travel, including advertising, salaries, travel, office expenses, publications, and similar expenses. The portion of the tax allocable to the hotel may not exceed 75 percent of that portion of the tax collected and remitted by the hotel which is required to be expended pursuant to this subsection: </w:t>
      </w:r>
      <w:r w:rsidRPr="005F307E">
        <w:rPr>
          <w:i/>
          <w:iCs/>
          <w:strike/>
          <w:color w:val="auto"/>
        </w:rPr>
        <w:t>Provided</w:t>
      </w:r>
      <w:r w:rsidRPr="005F307E">
        <w:rPr>
          <w:strike/>
          <w:color w:val="auto"/>
        </w:rPr>
        <w:t>, That prior to appropriating any moneys to the hotel, the county shall require the submission of, and give approval to, a budget setting forth the proposed uses of such moneys.</w:t>
      </w:r>
    </w:p>
    <w:p w14:paraId="78299B8B" w14:textId="77777777" w:rsidR="0081643C" w:rsidRPr="005F307E" w:rsidRDefault="0081643C" w:rsidP="002F5E2D">
      <w:pPr>
        <w:pStyle w:val="SectionBody"/>
        <w:rPr>
          <w:strike/>
          <w:color w:val="auto"/>
        </w:rPr>
      </w:pPr>
      <w:r w:rsidRPr="005F307E">
        <w:rPr>
          <w:strike/>
          <w:color w:val="auto"/>
        </w:rPr>
        <w:t>(B) If there is more than one convention and visitor’s bureau that is in compliance with the requirements of §7-18-13a of this code located within a county or region, the county commission may allocate the tax authorized by this article to one or more of the bureaus in such portion as the county commission in its sole discretion determines.</w:t>
      </w:r>
    </w:p>
    <w:p w14:paraId="6F41287E" w14:textId="77777777" w:rsidR="0081643C" w:rsidRPr="005F307E" w:rsidRDefault="0081643C" w:rsidP="002F5E2D">
      <w:pPr>
        <w:pStyle w:val="SectionBody"/>
        <w:rPr>
          <w:strike/>
          <w:color w:val="auto"/>
        </w:rPr>
      </w:pPr>
      <w:r w:rsidRPr="005F307E">
        <w:rPr>
          <w:strike/>
          <w:color w:val="auto"/>
        </w:rPr>
        <w:t>(3) Legislative finding.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visitor’s bureaus and hotels is a public purpose for which funds may be expended. Local convention and visitor’s bureaus and hotels receiving funds under this subsection may expend the funds for the payment of administrative expenses, and for the direct or indirect promotion of conventions and tourism, and for any other uses and purposes authorized by this subsection.</w:t>
      </w:r>
    </w:p>
    <w:p w14:paraId="31BB5380" w14:textId="6099B9E0" w:rsidR="0081643C" w:rsidRPr="005F307E" w:rsidRDefault="0081643C" w:rsidP="002F5E2D">
      <w:pPr>
        <w:pStyle w:val="SectionBody"/>
        <w:rPr>
          <w:color w:val="auto"/>
        </w:rPr>
      </w:pPr>
      <w:r w:rsidRPr="005F307E">
        <w:rPr>
          <w:color w:val="auto"/>
        </w:rPr>
        <w:t xml:space="preserve">(c) Permissible expenditures. — </w:t>
      </w:r>
      <w:r w:rsidRPr="005F307E">
        <w:rPr>
          <w:strike/>
          <w:color w:val="auto"/>
        </w:rPr>
        <w:t>After making the appropriation required by subsection (b) of this section, the remaining portion of the</w:t>
      </w:r>
      <w:r w:rsidRPr="005F307E">
        <w:rPr>
          <w:color w:val="auto"/>
        </w:rPr>
        <w:t xml:space="preserve"> </w:t>
      </w:r>
      <w:r w:rsidR="004C654D" w:rsidRPr="005F307E">
        <w:rPr>
          <w:color w:val="auto"/>
          <w:u w:val="single"/>
        </w:rPr>
        <w:t>The</w:t>
      </w:r>
      <w:r w:rsidR="004C654D" w:rsidRPr="005F307E">
        <w:rPr>
          <w:color w:val="auto"/>
        </w:rPr>
        <w:t xml:space="preserve"> </w:t>
      </w:r>
      <w:r w:rsidRPr="005F307E">
        <w:rPr>
          <w:color w:val="auto"/>
        </w:rPr>
        <w:t xml:space="preserve">net revenues receivable during the fiscal year by </w:t>
      </w:r>
      <w:r w:rsidRPr="005F307E">
        <w:rPr>
          <w:strike/>
          <w:color w:val="auto"/>
        </w:rPr>
        <w:lastRenderedPageBreak/>
        <w:t>the</w:t>
      </w:r>
      <w:r w:rsidRPr="005F307E">
        <w:rPr>
          <w:color w:val="auto"/>
        </w:rPr>
        <w:t xml:space="preserve"> </w:t>
      </w:r>
      <w:r w:rsidR="004C654D" w:rsidRPr="005F307E">
        <w:rPr>
          <w:color w:val="auto"/>
          <w:u w:val="single"/>
        </w:rPr>
        <w:t>a</w:t>
      </w:r>
      <w:r w:rsidR="004C654D" w:rsidRPr="005F307E">
        <w:rPr>
          <w:color w:val="auto"/>
        </w:rPr>
        <w:t xml:space="preserve"> </w:t>
      </w:r>
      <w:r w:rsidRPr="005F307E">
        <w:rPr>
          <w:color w:val="auto"/>
        </w:rPr>
        <w:t>county or municipality, pursuant to this article, may be expended for one or more of the purposes set forth in this subsection, but for no other purpose. The purposes for which expenditures may be made pursuant to this subsection are as follows:</w:t>
      </w:r>
    </w:p>
    <w:p w14:paraId="4DBA4320" w14:textId="6267A1FA" w:rsidR="004C654D" w:rsidRPr="005F307E" w:rsidRDefault="004C654D" w:rsidP="004C654D">
      <w:pPr>
        <w:pStyle w:val="SectionBody"/>
        <w:rPr>
          <w:color w:val="auto"/>
          <w:u w:val="single"/>
        </w:rPr>
      </w:pPr>
      <w:r w:rsidRPr="005F307E">
        <w:rPr>
          <w:color w:val="auto"/>
          <w:u w:val="single"/>
        </w:rPr>
        <w:t xml:space="preserve">(1) If there is </w:t>
      </w:r>
      <w:r w:rsidR="00C90229" w:rsidRPr="005F307E">
        <w:rPr>
          <w:color w:val="auto"/>
          <w:u w:val="single"/>
        </w:rPr>
        <w:t>one or more</w:t>
      </w:r>
      <w:r w:rsidRPr="005F307E">
        <w:rPr>
          <w:color w:val="auto"/>
          <w:u w:val="single"/>
        </w:rPr>
        <w:t xml:space="preserve"> convention and visitor’s bureau that </w:t>
      </w:r>
      <w:r w:rsidR="00C90229" w:rsidRPr="005F307E">
        <w:rPr>
          <w:color w:val="auto"/>
          <w:u w:val="single"/>
        </w:rPr>
        <w:t>is</w:t>
      </w:r>
      <w:r w:rsidRPr="005F307E">
        <w:rPr>
          <w:color w:val="auto"/>
          <w:u w:val="single"/>
        </w:rPr>
        <w:t xml:space="preserve"> in compliance with the requirements of §7-18-13a of this code located within a county or municipality, the county commission or municipality, as appropriate, may allocate the tax authorized by this article to one or more of such bureaus in such portion as the municipality or county commission, in its sole discretion, determines.</w:t>
      </w:r>
    </w:p>
    <w:p w14:paraId="5659CE24" w14:textId="2B46C2A3" w:rsidR="004A40CC" w:rsidRPr="005F307E" w:rsidRDefault="004A40CC" w:rsidP="004A40CC">
      <w:pPr>
        <w:pStyle w:val="SectionBody"/>
        <w:rPr>
          <w:color w:val="auto"/>
          <w:u w:val="single"/>
        </w:rPr>
      </w:pPr>
      <w:r w:rsidRPr="005F307E">
        <w:rPr>
          <w:color w:val="auto"/>
          <w:u w:val="single"/>
        </w:rPr>
        <w:t xml:space="preserve">(2) Any hotel located within the county or region may apply to the county for an appropriation to the hotel of a portion of the tax authorized by this article and collected by the hotel and remitted to the </w:t>
      </w:r>
      <w:r w:rsidR="00C90229" w:rsidRPr="005F307E">
        <w:rPr>
          <w:color w:val="auto"/>
          <w:u w:val="single"/>
        </w:rPr>
        <w:t xml:space="preserve">municipality or </w:t>
      </w:r>
      <w:r w:rsidRPr="005F307E">
        <w:rPr>
          <w:color w:val="auto"/>
          <w:u w:val="single"/>
        </w:rPr>
        <w:t xml:space="preserve">county for uses directly related to the promotion of tourism and travel, including advertising, salaries, travel, office expenses, publications, and similar expenses. The portion of the tax allocable to the hotel may not exceed 75 percent of that portion of the tax collected and remitted by the hotel which is required to be expended pursuant to this subsection: </w:t>
      </w:r>
      <w:r w:rsidRPr="005F307E">
        <w:rPr>
          <w:i/>
          <w:iCs/>
          <w:color w:val="auto"/>
          <w:u w:val="single"/>
        </w:rPr>
        <w:t>Provided</w:t>
      </w:r>
      <w:r w:rsidRPr="005F307E">
        <w:rPr>
          <w:color w:val="auto"/>
          <w:u w:val="single"/>
        </w:rPr>
        <w:t xml:space="preserve">, That prior to appropriating any moneys to the hotel, the </w:t>
      </w:r>
      <w:r w:rsidR="00C90229" w:rsidRPr="005F307E">
        <w:rPr>
          <w:color w:val="auto"/>
          <w:u w:val="single"/>
        </w:rPr>
        <w:t xml:space="preserve">municipality or </w:t>
      </w:r>
      <w:r w:rsidRPr="005F307E">
        <w:rPr>
          <w:color w:val="auto"/>
          <w:u w:val="single"/>
        </w:rPr>
        <w:t>county shall require the submission of, and give approval to, a budget setting forth the proposed uses of such moneys.</w:t>
      </w:r>
    </w:p>
    <w:p w14:paraId="7A7F145D" w14:textId="4C291C7D" w:rsidR="0081643C" w:rsidRPr="005F307E" w:rsidRDefault="0081643C" w:rsidP="002F5E2D">
      <w:pPr>
        <w:pStyle w:val="SectionBody"/>
        <w:rPr>
          <w:color w:val="auto"/>
        </w:rPr>
      </w:pPr>
      <w:r w:rsidRPr="005F307E">
        <w:rPr>
          <w:strike/>
          <w:color w:val="auto"/>
        </w:rPr>
        <w:t>(1)</w:t>
      </w:r>
      <w:r w:rsidR="004A40CC" w:rsidRPr="005F307E">
        <w:rPr>
          <w:color w:val="auto"/>
          <w:u w:val="single"/>
        </w:rPr>
        <w:t>(3)</w:t>
      </w:r>
      <w:r w:rsidR="004A40CC" w:rsidRPr="005F307E">
        <w:rPr>
          <w:color w:val="auto"/>
        </w:rPr>
        <w:t xml:space="preserve"> </w:t>
      </w:r>
      <w:r w:rsidRPr="005F307E">
        <w:rPr>
          <w:color w:val="auto"/>
        </w:rPr>
        <w:t>The planning, construction, reconstruction, establishment, acquisition, improvement, renovation, extension, enlargement, equipment, maintenance, repair, and operation of publicly owned convention facilities, including, but not limited to, arenas, auditoriums, civic centers, and convention centers;</w:t>
      </w:r>
    </w:p>
    <w:p w14:paraId="783D1CD5" w14:textId="5669566B" w:rsidR="0081643C" w:rsidRPr="005F307E" w:rsidRDefault="0081643C" w:rsidP="002F5E2D">
      <w:pPr>
        <w:pStyle w:val="SectionBody"/>
        <w:rPr>
          <w:color w:val="auto"/>
        </w:rPr>
      </w:pPr>
      <w:r w:rsidRPr="005F307E">
        <w:rPr>
          <w:strike/>
          <w:color w:val="auto"/>
        </w:rPr>
        <w:t>(2)</w:t>
      </w:r>
      <w:r w:rsidRPr="005F307E">
        <w:rPr>
          <w:color w:val="auto"/>
        </w:rPr>
        <w:t xml:space="preserve"> </w:t>
      </w:r>
      <w:r w:rsidR="00C90229" w:rsidRPr="005F307E">
        <w:rPr>
          <w:color w:val="auto"/>
          <w:u w:val="single"/>
        </w:rPr>
        <w:t>(4)</w:t>
      </w:r>
      <w:r w:rsidR="00C90229" w:rsidRPr="005F307E">
        <w:rPr>
          <w:color w:val="auto"/>
        </w:rPr>
        <w:t xml:space="preserve"> </w:t>
      </w:r>
      <w:r w:rsidRPr="005F307E">
        <w:rPr>
          <w:color w:val="auto"/>
        </w:rPr>
        <w:t>The payment of principal or interest or both on revenue bonds issued to finance the convention facilities;</w:t>
      </w:r>
    </w:p>
    <w:p w14:paraId="5B880AB1" w14:textId="21371E04" w:rsidR="0081643C" w:rsidRPr="005F307E" w:rsidRDefault="0081643C" w:rsidP="002F5E2D">
      <w:pPr>
        <w:pStyle w:val="SectionBody"/>
        <w:rPr>
          <w:color w:val="auto"/>
        </w:rPr>
      </w:pPr>
      <w:r w:rsidRPr="005F307E">
        <w:rPr>
          <w:strike/>
          <w:color w:val="auto"/>
        </w:rPr>
        <w:t>(3)</w:t>
      </w:r>
      <w:r w:rsidRPr="005F307E">
        <w:rPr>
          <w:color w:val="auto"/>
        </w:rPr>
        <w:t xml:space="preserve"> </w:t>
      </w:r>
      <w:r w:rsidR="00C90229" w:rsidRPr="005F307E">
        <w:rPr>
          <w:color w:val="auto"/>
          <w:u w:val="single"/>
        </w:rPr>
        <w:t>(5)</w:t>
      </w:r>
      <w:r w:rsidR="00C90229" w:rsidRPr="005F307E">
        <w:rPr>
          <w:color w:val="auto"/>
        </w:rPr>
        <w:t xml:space="preserve"> </w:t>
      </w:r>
      <w:r w:rsidRPr="005F307E">
        <w:rPr>
          <w:color w:val="auto"/>
        </w:rPr>
        <w:t>The promotion of conventions;</w:t>
      </w:r>
    </w:p>
    <w:p w14:paraId="0D0F1720" w14:textId="7D4297CE" w:rsidR="0081643C" w:rsidRPr="005F307E" w:rsidRDefault="0081643C" w:rsidP="002F5E2D">
      <w:pPr>
        <w:pStyle w:val="SectionBody"/>
        <w:rPr>
          <w:color w:val="auto"/>
        </w:rPr>
      </w:pPr>
      <w:r w:rsidRPr="005F307E">
        <w:rPr>
          <w:strike/>
          <w:color w:val="auto"/>
        </w:rPr>
        <w:t>(4)</w:t>
      </w:r>
      <w:r w:rsidRPr="005F307E">
        <w:rPr>
          <w:color w:val="auto"/>
        </w:rPr>
        <w:t xml:space="preserve"> </w:t>
      </w:r>
      <w:r w:rsidR="00C90229" w:rsidRPr="005F307E">
        <w:rPr>
          <w:color w:val="auto"/>
          <w:u w:val="single"/>
        </w:rPr>
        <w:t>(6)</w:t>
      </w:r>
      <w:r w:rsidR="00C90229" w:rsidRPr="005F307E">
        <w:rPr>
          <w:color w:val="auto"/>
        </w:rPr>
        <w:t xml:space="preserve"> </w:t>
      </w:r>
      <w:r w:rsidRPr="005F307E">
        <w:rPr>
          <w:color w:val="auto"/>
        </w:rPr>
        <w:t>The construction, operation, or maintenance of public parks, tourist information centers, and recreation facilities, including land acquisition;</w:t>
      </w:r>
    </w:p>
    <w:p w14:paraId="16F6CC8B" w14:textId="5C75C414" w:rsidR="0081643C" w:rsidRPr="005F307E" w:rsidRDefault="0081643C" w:rsidP="002F5E2D">
      <w:pPr>
        <w:pStyle w:val="SectionBody"/>
        <w:rPr>
          <w:color w:val="auto"/>
        </w:rPr>
      </w:pPr>
      <w:r w:rsidRPr="005F307E">
        <w:rPr>
          <w:strike/>
          <w:color w:val="auto"/>
        </w:rPr>
        <w:lastRenderedPageBreak/>
        <w:t>(5)</w:t>
      </w:r>
      <w:r w:rsidRPr="005F307E">
        <w:rPr>
          <w:color w:val="auto"/>
        </w:rPr>
        <w:t xml:space="preserve"> </w:t>
      </w:r>
      <w:r w:rsidR="00C90229" w:rsidRPr="005F307E">
        <w:rPr>
          <w:color w:val="auto"/>
          <w:u w:val="single"/>
        </w:rPr>
        <w:t>(7)</w:t>
      </w:r>
      <w:r w:rsidR="00C90229" w:rsidRPr="005F307E">
        <w:rPr>
          <w:color w:val="auto"/>
        </w:rPr>
        <w:t xml:space="preserve"> </w:t>
      </w:r>
      <w:r w:rsidRPr="005F307E">
        <w:rPr>
          <w:color w:val="auto"/>
        </w:rPr>
        <w:t>The promotion of the arts;</w:t>
      </w:r>
    </w:p>
    <w:p w14:paraId="1511A087" w14:textId="7AB5F856" w:rsidR="0081643C" w:rsidRPr="005F307E" w:rsidRDefault="0081643C" w:rsidP="002F5E2D">
      <w:pPr>
        <w:pStyle w:val="SectionBody"/>
        <w:rPr>
          <w:color w:val="auto"/>
        </w:rPr>
      </w:pPr>
      <w:r w:rsidRPr="005F307E">
        <w:rPr>
          <w:strike/>
          <w:color w:val="auto"/>
        </w:rPr>
        <w:t>(6)</w:t>
      </w:r>
      <w:r w:rsidRPr="005F307E">
        <w:rPr>
          <w:color w:val="auto"/>
        </w:rPr>
        <w:t xml:space="preserve"> </w:t>
      </w:r>
      <w:r w:rsidR="00C90229" w:rsidRPr="005F307E">
        <w:rPr>
          <w:color w:val="auto"/>
          <w:u w:val="single"/>
        </w:rPr>
        <w:t>(8)</w:t>
      </w:r>
      <w:r w:rsidR="00C90229" w:rsidRPr="005F307E">
        <w:rPr>
          <w:color w:val="auto"/>
        </w:rPr>
        <w:t xml:space="preserve"> </w:t>
      </w:r>
      <w:r w:rsidRPr="005F307E">
        <w:rPr>
          <w:color w:val="auto"/>
        </w:rPr>
        <w:t>Historic sites;</w:t>
      </w:r>
    </w:p>
    <w:p w14:paraId="60481F14" w14:textId="5821BC98" w:rsidR="0081643C" w:rsidRPr="005F307E" w:rsidRDefault="0081643C" w:rsidP="002F5E2D">
      <w:pPr>
        <w:pStyle w:val="SectionBody"/>
        <w:rPr>
          <w:color w:val="auto"/>
        </w:rPr>
      </w:pPr>
      <w:r w:rsidRPr="005F307E">
        <w:rPr>
          <w:strike/>
          <w:color w:val="auto"/>
        </w:rPr>
        <w:t>(7)</w:t>
      </w:r>
      <w:r w:rsidRPr="005F307E">
        <w:rPr>
          <w:color w:val="auto"/>
        </w:rPr>
        <w:t xml:space="preserve"> </w:t>
      </w:r>
      <w:r w:rsidR="00C90229" w:rsidRPr="005F307E">
        <w:rPr>
          <w:color w:val="auto"/>
          <w:u w:val="single"/>
        </w:rPr>
        <w:t>(9)</w:t>
      </w:r>
      <w:r w:rsidR="00C90229" w:rsidRPr="005F307E">
        <w:rPr>
          <w:color w:val="auto"/>
        </w:rPr>
        <w:t xml:space="preserve"> </w:t>
      </w:r>
      <w:r w:rsidRPr="005F307E">
        <w:rPr>
          <w:color w:val="auto"/>
        </w:rPr>
        <w:t>Beautification projects;</w:t>
      </w:r>
    </w:p>
    <w:p w14:paraId="49DD1968" w14:textId="0820CA37" w:rsidR="0081643C" w:rsidRPr="005F307E" w:rsidRDefault="0081643C" w:rsidP="002F5E2D">
      <w:pPr>
        <w:pStyle w:val="SectionBody"/>
        <w:rPr>
          <w:color w:val="auto"/>
        </w:rPr>
      </w:pPr>
      <w:r w:rsidRPr="005F307E">
        <w:rPr>
          <w:strike/>
          <w:color w:val="auto"/>
        </w:rPr>
        <w:t>(8)</w:t>
      </w:r>
      <w:r w:rsidRPr="005F307E">
        <w:rPr>
          <w:color w:val="auto"/>
        </w:rPr>
        <w:t xml:space="preserve"> </w:t>
      </w:r>
      <w:r w:rsidR="00C90229" w:rsidRPr="005F307E">
        <w:rPr>
          <w:color w:val="auto"/>
          <w:u w:val="single"/>
        </w:rPr>
        <w:t>(10)</w:t>
      </w:r>
      <w:r w:rsidR="00C90229" w:rsidRPr="005F307E">
        <w:rPr>
          <w:color w:val="auto"/>
        </w:rPr>
        <w:t xml:space="preserve"> </w:t>
      </w:r>
      <w:r w:rsidRPr="005F307E">
        <w:rPr>
          <w:color w:val="auto"/>
        </w:rPr>
        <w:t>Passenger air service incentives and subsidies directly related to increasing passenger air service availability to tourism destinations in this state;</w:t>
      </w:r>
    </w:p>
    <w:p w14:paraId="42248E23" w14:textId="3C875FEA" w:rsidR="0081643C" w:rsidRPr="005F307E" w:rsidRDefault="0081643C" w:rsidP="002F5E2D">
      <w:pPr>
        <w:pStyle w:val="SectionBody"/>
        <w:rPr>
          <w:color w:val="auto"/>
        </w:rPr>
      </w:pPr>
      <w:r w:rsidRPr="005F307E">
        <w:rPr>
          <w:strike/>
          <w:color w:val="auto"/>
        </w:rPr>
        <w:t>(9)</w:t>
      </w:r>
      <w:r w:rsidRPr="005F307E">
        <w:rPr>
          <w:color w:val="auto"/>
        </w:rPr>
        <w:t xml:space="preserve"> </w:t>
      </w:r>
      <w:r w:rsidR="00C90229" w:rsidRPr="005F307E">
        <w:rPr>
          <w:color w:val="auto"/>
          <w:u w:val="single"/>
        </w:rPr>
        <w:t>(11)</w:t>
      </w:r>
      <w:r w:rsidR="00C90229" w:rsidRPr="005F307E">
        <w:rPr>
          <w:color w:val="auto"/>
        </w:rPr>
        <w:t xml:space="preserve"> </w:t>
      </w:r>
      <w:r w:rsidRPr="005F307E">
        <w:rPr>
          <w:color w:val="auto"/>
        </w:rPr>
        <w:t>Medical care and emergency services in any county where:</w:t>
      </w:r>
    </w:p>
    <w:p w14:paraId="0F6DA903" w14:textId="77777777" w:rsidR="0081643C" w:rsidRPr="005F307E" w:rsidRDefault="0081643C" w:rsidP="002F5E2D">
      <w:pPr>
        <w:pStyle w:val="SectionBody"/>
        <w:rPr>
          <w:color w:val="auto"/>
        </w:rPr>
      </w:pPr>
      <w:r w:rsidRPr="005F307E">
        <w:rPr>
          <w:color w:val="auto"/>
        </w:rPr>
        <w:t>(A) There is an urgent necessity to preserve the delivery of acute medical care and emergency services;</w:t>
      </w:r>
    </w:p>
    <w:p w14:paraId="7CF998D3" w14:textId="77777777" w:rsidR="0081643C" w:rsidRPr="005F307E" w:rsidRDefault="0081643C" w:rsidP="002F5E2D">
      <w:pPr>
        <w:pStyle w:val="SectionBody"/>
        <w:rPr>
          <w:color w:val="auto"/>
        </w:rPr>
      </w:pPr>
      <w:r w:rsidRPr="005F307E">
        <w:rPr>
          <w:color w:val="auto"/>
        </w:rPr>
        <w:t>(B) There is an increase in need for acute medical care and emergency services directly related to tourism;</w:t>
      </w:r>
    </w:p>
    <w:p w14:paraId="0E68D476" w14:textId="77777777" w:rsidR="0081643C" w:rsidRPr="005F307E" w:rsidRDefault="0081643C" w:rsidP="002F5E2D">
      <w:pPr>
        <w:pStyle w:val="SectionBody"/>
        <w:rPr>
          <w:color w:val="auto"/>
        </w:rPr>
      </w:pPr>
      <w:r w:rsidRPr="005F307E">
        <w:rPr>
          <w:color w:val="auto"/>
        </w:rPr>
        <w:t>(C) Recurrent flooding in the county significantly disrupts, on a periodic basis, the delivery of acute medical care and emergency services;</w:t>
      </w:r>
    </w:p>
    <w:p w14:paraId="66AB6571" w14:textId="77777777" w:rsidR="0081643C" w:rsidRPr="005F307E" w:rsidRDefault="0081643C" w:rsidP="002F5E2D">
      <w:pPr>
        <w:pStyle w:val="SectionBody"/>
        <w:rPr>
          <w:color w:val="auto"/>
        </w:rPr>
      </w:pPr>
      <w:r w:rsidRPr="005F307E">
        <w:rPr>
          <w:color w:val="auto"/>
        </w:rPr>
        <w:t>(D) There is an inadequate economic base within the county from any source other than tourism to preserve the delivery of acute medical care and emergency services;</w:t>
      </w:r>
    </w:p>
    <w:p w14:paraId="585F9131" w14:textId="77777777" w:rsidR="0081643C" w:rsidRPr="005F307E" w:rsidRDefault="0081643C" w:rsidP="002F5E2D">
      <w:pPr>
        <w:pStyle w:val="SectionBody"/>
        <w:rPr>
          <w:color w:val="auto"/>
        </w:rPr>
      </w:pPr>
      <w:r w:rsidRPr="005F307E">
        <w:rPr>
          <w:color w:val="auto"/>
        </w:rPr>
        <w:t>(E) There is an inadequate economic base directly related to low population in the county, specifically, a population of less than 10,000 persons according to the most recent decennial census taken under the authority of the United States;</w:t>
      </w:r>
    </w:p>
    <w:p w14:paraId="6551E947" w14:textId="77777777" w:rsidR="0081643C" w:rsidRPr="005F307E" w:rsidRDefault="0081643C" w:rsidP="002F5E2D">
      <w:pPr>
        <w:pStyle w:val="SectionBody"/>
        <w:rPr>
          <w:color w:val="auto"/>
        </w:rPr>
      </w:pPr>
      <w:r w:rsidRPr="005F307E">
        <w:rPr>
          <w:color w:val="auto"/>
        </w:rPr>
        <w:t>(F) There is no more than one hospital within the county; and</w:t>
      </w:r>
    </w:p>
    <w:p w14:paraId="126F38E4" w14:textId="77777777" w:rsidR="0081643C" w:rsidRPr="005F307E" w:rsidRDefault="0081643C" w:rsidP="002F5E2D">
      <w:pPr>
        <w:pStyle w:val="SectionBody"/>
        <w:rPr>
          <w:color w:val="auto"/>
        </w:rPr>
      </w:pPr>
      <w:r w:rsidRPr="005F307E">
        <w:rPr>
          <w:color w:val="auto"/>
        </w:rPr>
        <w:t>(G) The county commission makes specific findings, by resolution, that all of the foregoing conditions within the county exist;</w:t>
      </w:r>
    </w:p>
    <w:p w14:paraId="4FE62C1D" w14:textId="6C33F8AC" w:rsidR="0081643C" w:rsidRPr="005F307E" w:rsidRDefault="0081643C" w:rsidP="002F5E2D">
      <w:pPr>
        <w:pStyle w:val="SectionBody"/>
        <w:rPr>
          <w:color w:val="auto"/>
        </w:rPr>
      </w:pPr>
      <w:r w:rsidRPr="005F307E">
        <w:rPr>
          <w:strike/>
          <w:color w:val="auto"/>
        </w:rPr>
        <w:t>(10)</w:t>
      </w:r>
      <w:r w:rsidRPr="005F307E">
        <w:rPr>
          <w:color w:val="auto"/>
        </w:rPr>
        <w:t xml:space="preserve"> </w:t>
      </w:r>
      <w:r w:rsidR="00C90229" w:rsidRPr="005F307E">
        <w:rPr>
          <w:color w:val="auto"/>
          <w:u w:val="single"/>
        </w:rPr>
        <w:t>(12)</w:t>
      </w:r>
      <w:r w:rsidR="00C90229" w:rsidRPr="005F307E">
        <w:rPr>
          <w:color w:val="auto"/>
        </w:rPr>
        <w:t xml:space="preserve"> </w:t>
      </w:r>
      <w:r w:rsidRPr="005F307E">
        <w:rPr>
          <w:color w:val="auto"/>
        </w:rPr>
        <w:t>Support and operation of the Hatfield-McCoy Recreation Area by the participating county commissions in the Hatfield-McCoy Regional Recreational Authority; or</w:t>
      </w:r>
    </w:p>
    <w:p w14:paraId="4C373198" w14:textId="2128A619" w:rsidR="0081643C" w:rsidRPr="005F307E" w:rsidRDefault="0081643C" w:rsidP="002F5E2D">
      <w:pPr>
        <w:pStyle w:val="SectionBody"/>
        <w:rPr>
          <w:color w:val="auto"/>
        </w:rPr>
      </w:pPr>
      <w:r w:rsidRPr="005F307E">
        <w:rPr>
          <w:strike/>
          <w:color w:val="auto"/>
        </w:rPr>
        <w:t>(11)</w:t>
      </w:r>
      <w:r w:rsidRPr="005F307E">
        <w:rPr>
          <w:color w:val="auto"/>
        </w:rPr>
        <w:t xml:space="preserve"> </w:t>
      </w:r>
      <w:r w:rsidR="00C90229" w:rsidRPr="005F307E">
        <w:rPr>
          <w:color w:val="auto"/>
          <w:u w:val="single"/>
        </w:rPr>
        <w:t>(13)</w:t>
      </w:r>
      <w:r w:rsidR="00C90229" w:rsidRPr="005F307E">
        <w:rPr>
          <w:color w:val="auto"/>
        </w:rPr>
        <w:t xml:space="preserve"> </w:t>
      </w:r>
      <w:r w:rsidRPr="005F307E">
        <w:rPr>
          <w:color w:val="auto"/>
        </w:rPr>
        <w:t>Support and operation of economic development activities, including site development, facilities, and infrastructure in an amount not to exceed $200,000.</w:t>
      </w:r>
    </w:p>
    <w:p w14:paraId="7C7684FC" w14:textId="77777777" w:rsidR="0081643C" w:rsidRPr="005F307E" w:rsidRDefault="0081643C" w:rsidP="002F5E2D">
      <w:pPr>
        <w:pStyle w:val="SectionBody"/>
        <w:rPr>
          <w:color w:val="auto"/>
        </w:rPr>
      </w:pPr>
      <w:r w:rsidRPr="005F307E">
        <w:rPr>
          <w:color w:val="auto"/>
        </w:rPr>
        <w:t>(d) Definitions. — For purposes of this section, the following terms are defined:</w:t>
      </w:r>
    </w:p>
    <w:p w14:paraId="69D89F8C" w14:textId="1F2920A3" w:rsidR="0081643C" w:rsidRPr="005F307E" w:rsidRDefault="0081643C" w:rsidP="002F5E2D">
      <w:pPr>
        <w:pStyle w:val="SectionBody"/>
        <w:rPr>
          <w:color w:val="auto"/>
        </w:rPr>
      </w:pPr>
      <w:r w:rsidRPr="005F307E">
        <w:rPr>
          <w:color w:val="auto"/>
        </w:rPr>
        <w:t xml:space="preserve">(1) Convention and visitor’s bureau and visitor’s and convention bureau. — </w:t>
      </w:r>
      <w:r w:rsidR="00BA4879" w:rsidRPr="005F307E">
        <w:rPr>
          <w:color w:val="auto"/>
        </w:rPr>
        <w:t>"</w:t>
      </w:r>
      <w:r w:rsidRPr="005F307E">
        <w:rPr>
          <w:color w:val="auto"/>
        </w:rPr>
        <w:t xml:space="preserve">Convention </w:t>
      </w:r>
      <w:r w:rsidRPr="005F307E">
        <w:rPr>
          <w:color w:val="auto"/>
        </w:rPr>
        <w:lastRenderedPageBreak/>
        <w:t>and visitor’s bureau</w:t>
      </w:r>
      <w:r w:rsidR="00BA4879" w:rsidRPr="005F307E">
        <w:rPr>
          <w:color w:val="auto"/>
        </w:rPr>
        <w:t>"</w:t>
      </w:r>
      <w:r w:rsidRPr="005F307E">
        <w:rPr>
          <w:color w:val="auto"/>
        </w:rPr>
        <w:t xml:space="preserve"> and </w:t>
      </w:r>
      <w:r w:rsidR="00BA4879" w:rsidRPr="005F307E">
        <w:rPr>
          <w:color w:val="auto"/>
        </w:rPr>
        <w:t>"</w:t>
      </w:r>
      <w:r w:rsidRPr="005F307E">
        <w:rPr>
          <w:color w:val="auto"/>
        </w:rPr>
        <w:t>visitor’s and convention bureau</w:t>
      </w:r>
      <w:r w:rsidR="00BA4879" w:rsidRPr="005F307E">
        <w:rPr>
          <w:color w:val="auto"/>
        </w:rPr>
        <w:t>"</w:t>
      </w:r>
      <w:r w:rsidRPr="005F307E">
        <w:rPr>
          <w:color w:val="auto"/>
        </w:rPr>
        <w:t xml:space="preserve"> are interchangeable and either shall mean a nonstock, nonprofit corporation with a full-time staff working exclusively to promote tourism and to attract conventions, conferences, and visitors to the municipality, county, or region in which the convention and visitor’s bureau or visitor’s and convention bureau is located or engaged in business within.</w:t>
      </w:r>
    </w:p>
    <w:p w14:paraId="366D9C32" w14:textId="046684B4" w:rsidR="0081643C" w:rsidRPr="005F307E" w:rsidRDefault="0081643C" w:rsidP="002F5E2D">
      <w:pPr>
        <w:pStyle w:val="SectionBody"/>
        <w:rPr>
          <w:color w:val="auto"/>
        </w:rPr>
      </w:pPr>
      <w:r w:rsidRPr="005F307E">
        <w:rPr>
          <w:color w:val="auto"/>
        </w:rPr>
        <w:t xml:space="preserve">(2) Convention center. — </w:t>
      </w:r>
      <w:r w:rsidR="00BA4879" w:rsidRPr="005F307E">
        <w:rPr>
          <w:color w:val="auto"/>
        </w:rPr>
        <w:t>"</w:t>
      </w:r>
      <w:r w:rsidRPr="005F307E">
        <w:rPr>
          <w:color w:val="auto"/>
        </w:rPr>
        <w:t>Convention center</w:t>
      </w:r>
      <w:r w:rsidR="00BA4879" w:rsidRPr="005F307E">
        <w:rPr>
          <w:color w:val="auto"/>
        </w:rPr>
        <w:t>"</w:t>
      </w:r>
      <w:r w:rsidRPr="005F307E">
        <w:rPr>
          <w:color w:val="auto"/>
        </w:rPr>
        <w:t xml:space="preserve"> means a convention facility owned by the state, a county, a municipality, or other public entity or instrumentality and shall include all facilities, including armories, commercial, office, community service, and parking facilities and publicly owned facilities constructed or used for the accommodation and entertainment of tourists and visitors, constructed in conjunction with the convention center and forming reasonable appurtenances thereto.</w:t>
      </w:r>
    </w:p>
    <w:p w14:paraId="260DF7F1" w14:textId="1F81C9CB" w:rsidR="0081643C" w:rsidRPr="005F307E" w:rsidRDefault="0081643C" w:rsidP="002F5E2D">
      <w:pPr>
        <w:pStyle w:val="SectionBody"/>
        <w:rPr>
          <w:color w:val="auto"/>
        </w:rPr>
      </w:pPr>
      <w:r w:rsidRPr="005F307E">
        <w:rPr>
          <w:color w:val="auto"/>
        </w:rPr>
        <w:t xml:space="preserve">(3) Fiscal year. — </w:t>
      </w:r>
      <w:r w:rsidR="00BA4879" w:rsidRPr="005F307E">
        <w:rPr>
          <w:color w:val="auto"/>
        </w:rPr>
        <w:t>"</w:t>
      </w:r>
      <w:r w:rsidRPr="005F307E">
        <w:rPr>
          <w:color w:val="auto"/>
        </w:rPr>
        <w:t>Fiscal year</w:t>
      </w:r>
      <w:r w:rsidR="00BA4879" w:rsidRPr="005F307E">
        <w:rPr>
          <w:color w:val="auto"/>
        </w:rPr>
        <w:t>"</w:t>
      </w:r>
      <w:r w:rsidRPr="005F307E">
        <w:rPr>
          <w:color w:val="auto"/>
        </w:rPr>
        <w:t xml:space="preserve"> means the year beginning July 1 and ending June 30 of the next calendar year.</w:t>
      </w:r>
    </w:p>
    <w:p w14:paraId="00EDA0DC" w14:textId="3F1E937F" w:rsidR="0081643C" w:rsidRPr="005F307E" w:rsidRDefault="0081643C" w:rsidP="002F5E2D">
      <w:pPr>
        <w:pStyle w:val="SectionBody"/>
        <w:rPr>
          <w:color w:val="auto"/>
        </w:rPr>
      </w:pPr>
      <w:r w:rsidRPr="005F307E">
        <w:rPr>
          <w:color w:val="auto"/>
        </w:rPr>
        <w:t xml:space="preserve">(4) Net proceeds. — </w:t>
      </w:r>
      <w:r w:rsidR="00BA4879" w:rsidRPr="005F307E">
        <w:rPr>
          <w:color w:val="auto"/>
        </w:rPr>
        <w:t>"</w:t>
      </w:r>
      <w:r w:rsidRPr="005F307E">
        <w:rPr>
          <w:color w:val="auto"/>
        </w:rPr>
        <w:t>Net proceeds</w:t>
      </w:r>
      <w:r w:rsidR="00BA4879" w:rsidRPr="005F307E">
        <w:rPr>
          <w:color w:val="auto"/>
        </w:rPr>
        <w:t>"</w:t>
      </w:r>
      <w:r w:rsidRPr="005F307E">
        <w:rPr>
          <w:color w:val="auto"/>
        </w:rPr>
        <w:t xml:space="preserve"> means the gross amount of tax collections less the amount of tax lawfully refunded.</w:t>
      </w:r>
    </w:p>
    <w:p w14:paraId="3740D643" w14:textId="350B9410" w:rsidR="0081643C" w:rsidRPr="005F307E" w:rsidRDefault="0081643C" w:rsidP="002F5E2D">
      <w:pPr>
        <w:pStyle w:val="SectionBody"/>
        <w:rPr>
          <w:color w:val="auto"/>
        </w:rPr>
      </w:pPr>
      <w:r w:rsidRPr="005F307E">
        <w:rPr>
          <w:color w:val="auto"/>
        </w:rPr>
        <w:t xml:space="preserve">(5) Promotion of the arts. — </w:t>
      </w:r>
      <w:r w:rsidR="00BA4879" w:rsidRPr="005F307E">
        <w:rPr>
          <w:color w:val="auto"/>
        </w:rPr>
        <w:t>"</w:t>
      </w:r>
      <w:r w:rsidRPr="005F307E">
        <w:rPr>
          <w:color w:val="auto"/>
        </w:rPr>
        <w:t>Promotion of the arts</w:t>
      </w:r>
      <w:r w:rsidR="00BA4879" w:rsidRPr="005F307E">
        <w:rPr>
          <w:color w:val="auto"/>
        </w:rPr>
        <w:t>"</w:t>
      </w:r>
      <w:r w:rsidRPr="005F307E">
        <w:rPr>
          <w:color w:val="auto"/>
        </w:rPr>
        <w:t xml:space="preserve"> means activity to promote public appreciation and interest in one or more of the arts. It includes the promotion of music for all types, the dramatic arts, dancing, painting, and the creative arts through shows, exhibits, festivals, concerts, musicals, and plays.</w:t>
      </w:r>
    </w:p>
    <w:p w14:paraId="4D68A6FA" w14:textId="28404BC1" w:rsidR="0081643C" w:rsidRPr="005F307E" w:rsidRDefault="0081643C" w:rsidP="002F5E2D">
      <w:pPr>
        <w:pStyle w:val="SectionBody"/>
        <w:rPr>
          <w:color w:val="auto"/>
        </w:rPr>
      </w:pPr>
      <w:r w:rsidRPr="005F307E">
        <w:rPr>
          <w:color w:val="auto"/>
        </w:rPr>
        <w:t xml:space="preserve">(6) Recreational facilities. — </w:t>
      </w:r>
      <w:r w:rsidR="00BA4879" w:rsidRPr="005F307E">
        <w:rPr>
          <w:color w:val="auto"/>
        </w:rPr>
        <w:t>"</w:t>
      </w:r>
      <w:r w:rsidRPr="005F307E">
        <w:rPr>
          <w:color w:val="auto"/>
        </w:rPr>
        <w:t>Recreational facilities</w:t>
      </w:r>
      <w:r w:rsidR="00BA4879" w:rsidRPr="005F307E">
        <w:rPr>
          <w:color w:val="auto"/>
        </w:rPr>
        <w:t>"</w:t>
      </w:r>
      <w:r w:rsidRPr="005F307E">
        <w:rPr>
          <w:color w:val="auto"/>
        </w:rPr>
        <w:t xml:space="preserve"> means and includes any public park, parkway, playground, public recreation center, athletic field, sports arena, stadium, skating rink or arena, golf course, tennis courts, and other park and recreation facilities, whether of a like or different nature, that are owned by a county or municipality.</w:t>
      </w:r>
    </w:p>
    <w:p w14:paraId="42DA9392" w14:textId="2FD4DD95" w:rsidR="0081643C" w:rsidRPr="005F307E" w:rsidRDefault="0081643C" w:rsidP="002F5E2D">
      <w:pPr>
        <w:pStyle w:val="SectionBody"/>
        <w:rPr>
          <w:color w:val="auto"/>
        </w:rPr>
      </w:pPr>
      <w:r w:rsidRPr="005F307E">
        <w:rPr>
          <w:color w:val="auto"/>
        </w:rPr>
        <w:t xml:space="preserve">(7) Region. — </w:t>
      </w:r>
      <w:r w:rsidR="00BA4879" w:rsidRPr="005F307E">
        <w:rPr>
          <w:color w:val="auto"/>
        </w:rPr>
        <w:t>"</w:t>
      </w:r>
      <w:r w:rsidRPr="005F307E">
        <w:rPr>
          <w:color w:val="auto"/>
        </w:rPr>
        <w:t>Region</w:t>
      </w:r>
      <w:r w:rsidR="00BA4879" w:rsidRPr="005F307E">
        <w:rPr>
          <w:color w:val="auto"/>
        </w:rPr>
        <w:t>"</w:t>
      </w:r>
      <w:r w:rsidRPr="005F307E">
        <w:rPr>
          <w:color w:val="auto"/>
        </w:rPr>
        <w:t xml:space="preserve"> means an area consisting of one or more counties or municipalities that have agreed by contract to fund a convention and visitor’s bureau to promote those counties or municipalities.</w:t>
      </w:r>
    </w:p>
    <w:p w14:paraId="565C1E35" w14:textId="2AF5C656" w:rsidR="0081643C" w:rsidRPr="005F307E" w:rsidRDefault="0081643C" w:rsidP="002F5E2D">
      <w:pPr>
        <w:pStyle w:val="SectionBody"/>
        <w:rPr>
          <w:color w:val="auto"/>
        </w:rPr>
      </w:pPr>
      <w:r w:rsidRPr="005F307E">
        <w:rPr>
          <w:color w:val="auto"/>
        </w:rPr>
        <w:lastRenderedPageBreak/>
        <w:t xml:space="preserve">(8) Historic site. — </w:t>
      </w:r>
      <w:r w:rsidR="00BA4879" w:rsidRPr="005F307E">
        <w:rPr>
          <w:color w:val="auto"/>
        </w:rPr>
        <w:t>"</w:t>
      </w:r>
      <w:r w:rsidRPr="005F307E">
        <w:rPr>
          <w:color w:val="auto"/>
        </w:rPr>
        <w:t>Historic site</w:t>
      </w:r>
      <w:r w:rsidR="00BA4879" w:rsidRPr="005F307E">
        <w:rPr>
          <w:color w:val="auto"/>
        </w:rPr>
        <w:t>"</w:t>
      </w:r>
      <w:r w:rsidRPr="005F307E">
        <w:rPr>
          <w:color w:val="auto"/>
        </w:rPr>
        <w:t xml:space="preserve"> means any site listed on the United States National Register of Historic Places, or listed by a local historical landmarks commission, established under state law, when the sites are owned by a city, a county, or a nonprofit historical association and are open, from time to time, to accommodate visitors.</w:t>
      </w:r>
    </w:p>
    <w:p w14:paraId="26FFACC0" w14:textId="77777777" w:rsidR="0081643C" w:rsidRPr="005F307E" w:rsidRDefault="0081643C" w:rsidP="002F5E2D">
      <w:pPr>
        <w:pStyle w:val="SectionBody"/>
        <w:rPr>
          <w:color w:val="auto"/>
        </w:rPr>
      </w:pPr>
      <w:r w:rsidRPr="005F307E">
        <w:rPr>
          <w:color w:val="auto"/>
        </w:rPr>
        <w:t>(e) Any member of a governing body who willingly and knowingly votes to or causes to be expended moneys generated by the provisions of this section for purposes other than specifically set forth in this section, or who approves of or otherwise facilitates the distribution of net proceeds to a convention and visitor’s bureau failing to meet the requirements of §7-18-13a(b) of this code, is guilty of a misdemeanor and, upon conviction thereof, shall be fined not more than $100.</w:t>
      </w:r>
    </w:p>
    <w:p w14:paraId="241BF955" w14:textId="77777777" w:rsidR="00C33014" w:rsidRPr="005F307E" w:rsidRDefault="00C33014" w:rsidP="00CC1F3B">
      <w:pPr>
        <w:pStyle w:val="Note"/>
        <w:rPr>
          <w:color w:val="auto"/>
        </w:rPr>
      </w:pPr>
    </w:p>
    <w:p w14:paraId="6038FA7C" w14:textId="56986C45" w:rsidR="006865E9" w:rsidRPr="005F307E" w:rsidRDefault="00CF1DCA" w:rsidP="00CC1F3B">
      <w:pPr>
        <w:pStyle w:val="Note"/>
        <w:rPr>
          <w:color w:val="auto"/>
        </w:rPr>
      </w:pPr>
      <w:r w:rsidRPr="005F307E">
        <w:rPr>
          <w:color w:val="auto"/>
        </w:rPr>
        <w:t>NOTE: The</w:t>
      </w:r>
      <w:r w:rsidR="006865E9" w:rsidRPr="005F307E">
        <w:rPr>
          <w:color w:val="auto"/>
        </w:rPr>
        <w:t xml:space="preserve"> purpose of this bill is to</w:t>
      </w:r>
      <w:r w:rsidR="00CE687F" w:rsidRPr="005F307E">
        <w:rPr>
          <w:color w:val="auto"/>
        </w:rPr>
        <w:t xml:space="preserve"> provide that the allocation of the hotel occupancy tax is subject to the sole discretion of the municipality or county commission.</w:t>
      </w:r>
    </w:p>
    <w:p w14:paraId="04EE4144" w14:textId="77777777" w:rsidR="006865E9" w:rsidRPr="005F307E" w:rsidRDefault="00AE48A0" w:rsidP="00CC1F3B">
      <w:pPr>
        <w:pStyle w:val="Note"/>
        <w:rPr>
          <w:color w:val="auto"/>
        </w:rPr>
      </w:pPr>
      <w:r w:rsidRPr="005F307E">
        <w:rPr>
          <w:color w:val="auto"/>
        </w:rPr>
        <w:t>Strike-throughs indicate language that would be stricken from a heading or the present law and underscoring indicates new language that would be added.</w:t>
      </w:r>
    </w:p>
    <w:sectPr w:rsidR="006865E9" w:rsidRPr="005F307E" w:rsidSect="00E71B3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09B1" w14:textId="77777777" w:rsidR="0081643C" w:rsidRPr="00B844FE" w:rsidRDefault="0081643C" w:rsidP="00B844FE">
      <w:r>
        <w:separator/>
      </w:r>
    </w:p>
  </w:endnote>
  <w:endnote w:type="continuationSeparator" w:id="0">
    <w:p w14:paraId="0B52CD84" w14:textId="77777777" w:rsidR="0081643C" w:rsidRPr="00B844FE" w:rsidRDefault="008164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C111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C362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33AC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2621" w14:textId="77777777" w:rsidR="00BC451F" w:rsidRDefault="00BC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757D" w14:textId="77777777" w:rsidR="0081643C" w:rsidRPr="00B844FE" w:rsidRDefault="0081643C" w:rsidP="00B844FE">
      <w:r>
        <w:separator/>
      </w:r>
    </w:p>
  </w:footnote>
  <w:footnote w:type="continuationSeparator" w:id="0">
    <w:p w14:paraId="411C690C" w14:textId="77777777" w:rsidR="0081643C" w:rsidRPr="00B844FE" w:rsidRDefault="008164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1A18" w14:textId="77777777" w:rsidR="002A0269" w:rsidRPr="00B844FE" w:rsidRDefault="00E470E2">
    <w:pPr>
      <w:pStyle w:val="Header"/>
    </w:pPr>
    <w:sdt>
      <w:sdtPr>
        <w:id w:val="-684364211"/>
        <w:placeholder>
          <w:docPart w:val="EE374B8DADA1439CB9123DDB4409FF6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E374B8DADA1439CB9123DDB4409FF6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0DA8" w14:textId="2F81C11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5E38F3">
      <w:t>H</w:t>
    </w:r>
    <w:r w:rsidR="00492D33">
      <w:t>B</w:t>
    </w:r>
    <w:r w:rsidR="00C33014" w:rsidRPr="002A0269">
      <w:ptab w:relativeTo="margin" w:alignment="center" w:leader="none"/>
    </w:r>
    <w:r w:rsidR="00C33014">
      <w:tab/>
    </w:r>
    <w:sdt>
      <w:sdtPr>
        <w:alias w:val="CBD Number"/>
        <w:tag w:val="CBD Number"/>
        <w:id w:val="1176923086"/>
        <w:lock w:val="sdtLocked"/>
        <w:text/>
      </w:sdtPr>
      <w:sdtEndPr/>
      <w:sdtContent>
        <w:r w:rsidR="005E38F3">
          <w:t xml:space="preserve">2023R2549  </w:t>
        </w:r>
        <w:r w:rsidR="00492D33">
          <w:t>2023R1840</w:t>
        </w:r>
      </w:sdtContent>
    </w:sdt>
  </w:p>
  <w:p w14:paraId="2641B3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0F05" w14:textId="4BD5C28F" w:rsidR="002A0269" w:rsidRPr="002A0269" w:rsidRDefault="00E470E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F63B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4054246">
    <w:abstractNumId w:val="0"/>
  </w:num>
  <w:num w:numId="2" w16cid:durableId="49862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3C"/>
    <w:rsid w:val="0000526A"/>
    <w:rsid w:val="000425B7"/>
    <w:rsid w:val="000573A9"/>
    <w:rsid w:val="00085D22"/>
    <w:rsid w:val="000C5C77"/>
    <w:rsid w:val="000E3912"/>
    <w:rsid w:val="0010070F"/>
    <w:rsid w:val="001143CA"/>
    <w:rsid w:val="0015112E"/>
    <w:rsid w:val="001552E7"/>
    <w:rsid w:val="001566B4"/>
    <w:rsid w:val="00173E29"/>
    <w:rsid w:val="001A66B7"/>
    <w:rsid w:val="001C279E"/>
    <w:rsid w:val="001D459E"/>
    <w:rsid w:val="0027011C"/>
    <w:rsid w:val="00270E15"/>
    <w:rsid w:val="00274200"/>
    <w:rsid w:val="00275740"/>
    <w:rsid w:val="002A0269"/>
    <w:rsid w:val="00303684"/>
    <w:rsid w:val="003143F5"/>
    <w:rsid w:val="00314854"/>
    <w:rsid w:val="00394191"/>
    <w:rsid w:val="003C51CD"/>
    <w:rsid w:val="003F63B5"/>
    <w:rsid w:val="0041150C"/>
    <w:rsid w:val="004368E0"/>
    <w:rsid w:val="00492D33"/>
    <w:rsid w:val="004A40CC"/>
    <w:rsid w:val="004C13DD"/>
    <w:rsid w:val="004C654D"/>
    <w:rsid w:val="004E3441"/>
    <w:rsid w:val="00500579"/>
    <w:rsid w:val="00575F35"/>
    <w:rsid w:val="005A5366"/>
    <w:rsid w:val="005D7E17"/>
    <w:rsid w:val="005E38F3"/>
    <w:rsid w:val="005F307E"/>
    <w:rsid w:val="006210B7"/>
    <w:rsid w:val="006369EB"/>
    <w:rsid w:val="00637E73"/>
    <w:rsid w:val="006865E9"/>
    <w:rsid w:val="00691F3E"/>
    <w:rsid w:val="00694BFB"/>
    <w:rsid w:val="006A106B"/>
    <w:rsid w:val="006C523D"/>
    <w:rsid w:val="006D4036"/>
    <w:rsid w:val="007A5259"/>
    <w:rsid w:val="007A7081"/>
    <w:rsid w:val="007F1CF5"/>
    <w:rsid w:val="007F29DD"/>
    <w:rsid w:val="0081643C"/>
    <w:rsid w:val="00834EDE"/>
    <w:rsid w:val="008736AA"/>
    <w:rsid w:val="008D275D"/>
    <w:rsid w:val="00971C0C"/>
    <w:rsid w:val="00980327"/>
    <w:rsid w:val="00986478"/>
    <w:rsid w:val="009B5557"/>
    <w:rsid w:val="009F1067"/>
    <w:rsid w:val="00A05727"/>
    <w:rsid w:val="00A31E01"/>
    <w:rsid w:val="00A527AD"/>
    <w:rsid w:val="00A718CF"/>
    <w:rsid w:val="00AC18A2"/>
    <w:rsid w:val="00AD1EB2"/>
    <w:rsid w:val="00AE48A0"/>
    <w:rsid w:val="00AE61BE"/>
    <w:rsid w:val="00AF56C3"/>
    <w:rsid w:val="00B16F25"/>
    <w:rsid w:val="00B24422"/>
    <w:rsid w:val="00B66B81"/>
    <w:rsid w:val="00B80C20"/>
    <w:rsid w:val="00B844FE"/>
    <w:rsid w:val="00B86B4F"/>
    <w:rsid w:val="00BA1F84"/>
    <w:rsid w:val="00BA4879"/>
    <w:rsid w:val="00BC451F"/>
    <w:rsid w:val="00BC562B"/>
    <w:rsid w:val="00BF380E"/>
    <w:rsid w:val="00C33014"/>
    <w:rsid w:val="00C33434"/>
    <w:rsid w:val="00C34869"/>
    <w:rsid w:val="00C42EB6"/>
    <w:rsid w:val="00C85096"/>
    <w:rsid w:val="00C90229"/>
    <w:rsid w:val="00CB20EF"/>
    <w:rsid w:val="00CC1F3B"/>
    <w:rsid w:val="00CD12CB"/>
    <w:rsid w:val="00CD36CF"/>
    <w:rsid w:val="00CE687F"/>
    <w:rsid w:val="00CF1DCA"/>
    <w:rsid w:val="00D579FC"/>
    <w:rsid w:val="00D81C16"/>
    <w:rsid w:val="00D94E48"/>
    <w:rsid w:val="00DE526B"/>
    <w:rsid w:val="00DF199D"/>
    <w:rsid w:val="00E01542"/>
    <w:rsid w:val="00E365F1"/>
    <w:rsid w:val="00E470E2"/>
    <w:rsid w:val="00E62F48"/>
    <w:rsid w:val="00E71B3A"/>
    <w:rsid w:val="00E831B3"/>
    <w:rsid w:val="00E95FBC"/>
    <w:rsid w:val="00ED61A7"/>
    <w:rsid w:val="00EE70CB"/>
    <w:rsid w:val="00F41CA2"/>
    <w:rsid w:val="00F443C0"/>
    <w:rsid w:val="00F4581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D05737"/>
  <w15:chartTrackingRefBased/>
  <w15:docId w15:val="{952C394F-86B1-490A-9734-CEE30C7A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643C"/>
    <w:rPr>
      <w:rFonts w:eastAsia="Calibri"/>
      <w:color w:val="000000"/>
    </w:rPr>
  </w:style>
  <w:style w:type="character" w:customStyle="1" w:styleId="ArticleHeadingChar">
    <w:name w:val="Article Heading Char"/>
    <w:link w:val="ArticleHeading"/>
    <w:rsid w:val="00CE687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A9C2DF25445988E8515692D5A0E10"/>
        <w:category>
          <w:name w:val="General"/>
          <w:gallery w:val="placeholder"/>
        </w:category>
        <w:types>
          <w:type w:val="bbPlcHdr"/>
        </w:types>
        <w:behaviors>
          <w:behavior w:val="content"/>
        </w:behaviors>
        <w:guid w:val="{904648C5-C47F-4751-9799-2040F041397B}"/>
      </w:docPartPr>
      <w:docPartBody>
        <w:p w:rsidR="00E318A0" w:rsidRDefault="00E318A0">
          <w:pPr>
            <w:pStyle w:val="219A9C2DF25445988E8515692D5A0E10"/>
          </w:pPr>
          <w:r w:rsidRPr="00B844FE">
            <w:t>Prefix Text</w:t>
          </w:r>
        </w:p>
      </w:docPartBody>
    </w:docPart>
    <w:docPart>
      <w:docPartPr>
        <w:name w:val="EE374B8DADA1439CB9123DDB4409FF6F"/>
        <w:category>
          <w:name w:val="General"/>
          <w:gallery w:val="placeholder"/>
        </w:category>
        <w:types>
          <w:type w:val="bbPlcHdr"/>
        </w:types>
        <w:behaviors>
          <w:behavior w:val="content"/>
        </w:behaviors>
        <w:guid w:val="{3134CBF0-DD37-4A26-8E91-31F1D97870FA}"/>
      </w:docPartPr>
      <w:docPartBody>
        <w:p w:rsidR="00E318A0" w:rsidRDefault="00E318A0">
          <w:pPr>
            <w:pStyle w:val="EE374B8DADA1439CB9123DDB4409FF6F"/>
          </w:pPr>
          <w:r w:rsidRPr="00B844FE">
            <w:t>[Type here]</w:t>
          </w:r>
        </w:p>
      </w:docPartBody>
    </w:docPart>
    <w:docPart>
      <w:docPartPr>
        <w:name w:val="D7A4E4637DC4429F9BF83808D8618699"/>
        <w:category>
          <w:name w:val="General"/>
          <w:gallery w:val="placeholder"/>
        </w:category>
        <w:types>
          <w:type w:val="bbPlcHdr"/>
        </w:types>
        <w:behaviors>
          <w:behavior w:val="content"/>
        </w:behaviors>
        <w:guid w:val="{CFADFE91-F81E-4246-A7E6-D9C46F5ED9A6}"/>
      </w:docPartPr>
      <w:docPartBody>
        <w:p w:rsidR="00E318A0" w:rsidRDefault="00E318A0">
          <w:pPr>
            <w:pStyle w:val="D7A4E4637DC4429F9BF83808D8618699"/>
          </w:pPr>
          <w:r w:rsidRPr="00B844FE">
            <w:t>Number</w:t>
          </w:r>
        </w:p>
      </w:docPartBody>
    </w:docPart>
    <w:docPart>
      <w:docPartPr>
        <w:name w:val="93BA252143554D19ADE23667D232BEAE"/>
        <w:category>
          <w:name w:val="General"/>
          <w:gallery w:val="placeholder"/>
        </w:category>
        <w:types>
          <w:type w:val="bbPlcHdr"/>
        </w:types>
        <w:behaviors>
          <w:behavior w:val="content"/>
        </w:behaviors>
        <w:guid w:val="{7226738C-D9C6-4E10-BABF-8DC82FC8709C}"/>
      </w:docPartPr>
      <w:docPartBody>
        <w:p w:rsidR="00E318A0" w:rsidRDefault="00E318A0">
          <w:pPr>
            <w:pStyle w:val="93BA252143554D19ADE23667D232BEAE"/>
          </w:pPr>
          <w:r w:rsidRPr="00B844FE">
            <w:t>Enter Sponsors Here</w:t>
          </w:r>
        </w:p>
      </w:docPartBody>
    </w:docPart>
    <w:docPart>
      <w:docPartPr>
        <w:name w:val="AC4F50163B134C86BC75852066546FD8"/>
        <w:category>
          <w:name w:val="General"/>
          <w:gallery w:val="placeholder"/>
        </w:category>
        <w:types>
          <w:type w:val="bbPlcHdr"/>
        </w:types>
        <w:behaviors>
          <w:behavior w:val="content"/>
        </w:behaviors>
        <w:guid w:val="{F9882416-0E64-484B-9490-CCE20D44A4B5}"/>
      </w:docPartPr>
      <w:docPartBody>
        <w:p w:rsidR="00E318A0" w:rsidRDefault="00E318A0">
          <w:pPr>
            <w:pStyle w:val="AC4F50163B134C86BC75852066546F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A0"/>
    <w:rsid w:val="00E3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A9C2DF25445988E8515692D5A0E10">
    <w:name w:val="219A9C2DF25445988E8515692D5A0E10"/>
  </w:style>
  <w:style w:type="paragraph" w:customStyle="1" w:styleId="EE374B8DADA1439CB9123DDB4409FF6F">
    <w:name w:val="EE374B8DADA1439CB9123DDB4409FF6F"/>
  </w:style>
  <w:style w:type="paragraph" w:customStyle="1" w:styleId="D7A4E4637DC4429F9BF83808D8618699">
    <w:name w:val="D7A4E4637DC4429F9BF83808D8618699"/>
  </w:style>
  <w:style w:type="paragraph" w:customStyle="1" w:styleId="93BA252143554D19ADE23667D232BEAE">
    <w:name w:val="93BA252143554D19ADE23667D232BEAE"/>
  </w:style>
  <w:style w:type="character" w:styleId="PlaceholderText">
    <w:name w:val="Placeholder Text"/>
    <w:basedOn w:val="DefaultParagraphFont"/>
    <w:uiPriority w:val="99"/>
    <w:semiHidden/>
    <w:rPr>
      <w:color w:val="808080"/>
    </w:rPr>
  </w:style>
  <w:style w:type="paragraph" w:customStyle="1" w:styleId="AC4F50163B134C86BC75852066546FD8">
    <w:name w:val="AC4F50163B134C86BC75852066546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TotalTime>
  <Pages>8</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Robert Altmann</cp:lastModifiedBy>
  <cp:revision>4</cp:revision>
  <cp:lastPrinted>2022-12-19T16:21:00Z</cp:lastPrinted>
  <dcterms:created xsi:type="dcterms:W3CDTF">2023-01-16T14:55:00Z</dcterms:created>
  <dcterms:modified xsi:type="dcterms:W3CDTF">2023-01-26T13:42:00Z</dcterms:modified>
</cp:coreProperties>
</file>